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11B2" w:rsidRPr="00E03EF0" w:rsidRDefault="00E03EF0">
      <w:pPr>
        <w:jc w:val="center"/>
        <w:rPr>
          <w:b/>
          <w:bCs/>
          <w:caps/>
          <w:sz w:val="28"/>
          <w:szCs w:val="28"/>
          <w:lang w:val="ru-RU"/>
        </w:rPr>
      </w:pPr>
      <w:r w:rsidRPr="00E03EF0">
        <w:rPr>
          <w:b/>
          <w:bCs/>
          <w:caps/>
          <w:sz w:val="28"/>
          <w:szCs w:val="28"/>
          <w:lang w:val="ru-RU"/>
        </w:rPr>
        <w:t>Пояснительная записка по ИТ</w:t>
      </w:r>
    </w:p>
    <w:p w:rsidR="008611B2" w:rsidRPr="00E03EF0" w:rsidRDefault="00E03EF0">
      <w:pPr>
        <w:spacing w:before="283"/>
        <w:ind w:left="283" w:right="283"/>
        <w:jc w:val="center"/>
        <w:rPr>
          <w:b/>
          <w:bCs/>
          <w:lang w:val="ru-RU"/>
        </w:rPr>
      </w:pPr>
      <w:r w:rsidRPr="00E03EF0">
        <w:rPr>
          <w:b/>
          <w:bCs/>
          <w:lang w:val="ru-RU"/>
        </w:rPr>
        <w:t>Приобретение планшетов</w:t>
      </w:r>
    </w:p>
    <w:p w:rsidR="008611B2" w:rsidRDefault="00E03EF0">
      <w:pPr>
        <w:spacing w:before="113"/>
        <w:jc w:val="center"/>
        <w:rPr>
          <w:b/>
          <w:bCs/>
        </w:rPr>
      </w:pPr>
      <w:proofErr w:type="spellStart"/>
      <w:r>
        <w:rPr>
          <w:b/>
          <w:bCs/>
        </w:rPr>
        <w:t>Код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проекта</w:t>
      </w:r>
      <w:proofErr w:type="spellEnd"/>
      <w:r>
        <w:rPr>
          <w:b/>
          <w:bCs/>
        </w:rPr>
        <w:t xml:space="preserve"> - 15.01.10049</w:t>
      </w:r>
    </w:p>
    <w:p w:rsidR="008611B2" w:rsidRPr="00E03EF0" w:rsidRDefault="00E03EF0" w:rsidP="00E03EF0">
      <w:pPr>
        <w:pStyle w:val="1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03EF0">
        <w:rPr>
          <w:rFonts w:ascii="Times New Roman" w:hAnsi="Times New Roman" w:cs="Times New Roman"/>
        </w:rPr>
        <w:t>ОПИСАНИЕ ИПКВ ИТ</w:t>
      </w:r>
    </w:p>
    <w:p w:rsidR="008611B2" w:rsidRPr="00E03EF0" w:rsidRDefault="00E03EF0" w:rsidP="00E03EF0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E03EF0">
        <w:rPr>
          <w:rFonts w:ascii="Times New Roman" w:hAnsi="Times New Roman" w:cs="Times New Roman"/>
        </w:rPr>
        <w:t>Объект</w:t>
      </w:r>
      <w:proofErr w:type="spellEnd"/>
      <w:r w:rsidRPr="00E03EF0">
        <w:rPr>
          <w:rFonts w:ascii="Times New Roman" w:hAnsi="Times New Roman" w:cs="Times New Roman"/>
        </w:rPr>
        <w:t xml:space="preserve"> </w:t>
      </w:r>
      <w:proofErr w:type="spellStart"/>
      <w:r w:rsidRPr="00E03EF0">
        <w:rPr>
          <w:rFonts w:ascii="Times New Roman" w:hAnsi="Times New Roman" w:cs="Times New Roman"/>
        </w:rPr>
        <w:t>вложения</w:t>
      </w:r>
      <w:proofErr w:type="spellEnd"/>
      <w:r w:rsidRPr="00E03EF0">
        <w:rPr>
          <w:rFonts w:ascii="Times New Roman" w:hAnsi="Times New Roman" w:cs="Times New Roman"/>
        </w:rPr>
        <w:t xml:space="preserve"> </w:t>
      </w:r>
      <w:proofErr w:type="spellStart"/>
      <w:r w:rsidRPr="00E03EF0">
        <w:rPr>
          <w:rFonts w:ascii="Times New Roman" w:hAnsi="Times New Roman" w:cs="Times New Roman"/>
        </w:rPr>
        <w:t>средств</w:t>
      </w:r>
      <w:proofErr w:type="spellEnd"/>
    </w:p>
    <w:p w:rsidR="008611B2" w:rsidRPr="00E03EF0" w:rsidRDefault="00E03EF0" w:rsidP="00E03EF0">
      <w:pPr>
        <w:jc w:val="both"/>
        <w:rPr>
          <w:rFonts w:ascii="Times New Roman" w:hAnsi="Times New Roman" w:cs="Times New Roman"/>
        </w:rPr>
      </w:pPr>
      <w:r w:rsidRPr="00E03EF0">
        <w:rPr>
          <w:rFonts w:ascii="Times New Roman" w:hAnsi="Times New Roman" w:cs="Times New Roman"/>
        </w:rPr>
        <w:t>АО "Петербургская сбытовая компания"</w:t>
      </w:r>
    </w:p>
    <w:p w:rsidR="008611B2" w:rsidRPr="00E03EF0" w:rsidRDefault="00E03EF0" w:rsidP="00E03EF0">
      <w:pPr>
        <w:spacing w:before="283" w:after="283"/>
        <w:jc w:val="both"/>
        <w:rPr>
          <w:rFonts w:ascii="Times New Roman" w:hAnsi="Times New Roman" w:cs="Times New Roman"/>
          <w:b/>
          <w:bCs/>
        </w:rPr>
      </w:pPr>
      <w:proofErr w:type="spellStart"/>
      <w:r w:rsidRPr="00E03EF0">
        <w:rPr>
          <w:rFonts w:ascii="Times New Roman" w:hAnsi="Times New Roman" w:cs="Times New Roman"/>
          <w:b/>
          <w:bCs/>
        </w:rPr>
        <w:t>Объект</w:t>
      </w:r>
      <w:proofErr w:type="spellEnd"/>
      <w:r w:rsidRPr="00E03EF0">
        <w:rPr>
          <w:rFonts w:ascii="Times New Roman" w:hAnsi="Times New Roman" w:cs="Times New Roman"/>
          <w:b/>
          <w:bCs/>
        </w:rPr>
        <w:t xml:space="preserve"> ОС:</w:t>
      </w:r>
    </w:p>
    <w:p w:rsidR="008611B2" w:rsidRPr="00E03EF0" w:rsidRDefault="00E03EF0" w:rsidP="00E03EF0">
      <w:pPr>
        <w:jc w:val="both"/>
        <w:rPr>
          <w:rFonts w:ascii="Times New Roman" w:hAnsi="Times New Roman" w:cs="Times New Roman"/>
        </w:rPr>
      </w:pPr>
      <w:r w:rsidRPr="00E03EF0">
        <w:rPr>
          <w:rFonts w:ascii="Times New Roman" w:hAnsi="Times New Roman" w:cs="Times New Roman"/>
          <w:lang w:val="ru-RU"/>
        </w:rPr>
        <w:t xml:space="preserve">АО «Петербургская сбытовая компания». Планшеты. </w:t>
      </w:r>
      <w:proofErr w:type="spellStart"/>
      <w:r w:rsidRPr="00E03EF0">
        <w:rPr>
          <w:rFonts w:ascii="Times New Roman" w:hAnsi="Times New Roman" w:cs="Times New Roman"/>
        </w:rPr>
        <w:t>Новые</w:t>
      </w:r>
      <w:proofErr w:type="spellEnd"/>
      <w:r w:rsidRPr="00E03EF0">
        <w:rPr>
          <w:rFonts w:ascii="Times New Roman" w:hAnsi="Times New Roman" w:cs="Times New Roman"/>
        </w:rPr>
        <w:t xml:space="preserve"> </w:t>
      </w:r>
      <w:proofErr w:type="spellStart"/>
      <w:r w:rsidRPr="00E03EF0">
        <w:rPr>
          <w:rFonts w:ascii="Times New Roman" w:hAnsi="Times New Roman" w:cs="Times New Roman"/>
        </w:rPr>
        <w:t>основные</w:t>
      </w:r>
      <w:proofErr w:type="spellEnd"/>
      <w:r w:rsidRPr="00E03EF0">
        <w:rPr>
          <w:rFonts w:ascii="Times New Roman" w:hAnsi="Times New Roman" w:cs="Times New Roman"/>
        </w:rPr>
        <w:t xml:space="preserve"> </w:t>
      </w:r>
      <w:proofErr w:type="spellStart"/>
      <w:r w:rsidRPr="00E03EF0">
        <w:rPr>
          <w:rFonts w:ascii="Times New Roman" w:hAnsi="Times New Roman" w:cs="Times New Roman"/>
        </w:rPr>
        <w:t>средства</w:t>
      </w:r>
      <w:proofErr w:type="spellEnd"/>
      <w:r w:rsidRPr="00E03EF0">
        <w:rPr>
          <w:rFonts w:ascii="Times New Roman" w:hAnsi="Times New Roman" w:cs="Times New Roman"/>
        </w:rPr>
        <w:t>.</w:t>
      </w:r>
    </w:p>
    <w:p w:rsidR="008611B2" w:rsidRPr="00E03EF0" w:rsidRDefault="00E03EF0" w:rsidP="00E03EF0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E03EF0">
        <w:rPr>
          <w:rFonts w:ascii="Times New Roman" w:hAnsi="Times New Roman" w:cs="Times New Roman"/>
        </w:rPr>
        <w:t>Предпосылки</w:t>
      </w:r>
      <w:proofErr w:type="spellEnd"/>
      <w:r w:rsidRPr="00E03EF0">
        <w:rPr>
          <w:rFonts w:ascii="Times New Roman" w:hAnsi="Times New Roman" w:cs="Times New Roman"/>
        </w:rPr>
        <w:t xml:space="preserve"> / </w:t>
      </w:r>
      <w:proofErr w:type="spellStart"/>
      <w:r w:rsidRPr="00E03EF0">
        <w:rPr>
          <w:rFonts w:ascii="Times New Roman" w:hAnsi="Times New Roman" w:cs="Times New Roman"/>
        </w:rPr>
        <w:t>необходимость</w:t>
      </w:r>
      <w:proofErr w:type="spellEnd"/>
      <w:r w:rsidRPr="00E03EF0">
        <w:rPr>
          <w:rFonts w:ascii="Times New Roman" w:hAnsi="Times New Roman" w:cs="Times New Roman"/>
        </w:rPr>
        <w:t xml:space="preserve"> </w:t>
      </w:r>
      <w:proofErr w:type="spellStart"/>
      <w:r w:rsidRPr="00E03EF0">
        <w:rPr>
          <w:rFonts w:ascii="Times New Roman" w:hAnsi="Times New Roman" w:cs="Times New Roman"/>
        </w:rPr>
        <w:t>реализации</w:t>
      </w:r>
      <w:proofErr w:type="spellEnd"/>
      <w:r w:rsidRPr="00E03EF0">
        <w:rPr>
          <w:rFonts w:ascii="Times New Roman" w:hAnsi="Times New Roman" w:cs="Times New Roman"/>
        </w:rPr>
        <w:t xml:space="preserve"> ИПКВ ИТ</w:t>
      </w:r>
    </w:p>
    <w:p w:rsidR="008611B2" w:rsidRPr="00E03EF0" w:rsidRDefault="00E03EF0" w:rsidP="00E03EF0">
      <w:pPr>
        <w:jc w:val="both"/>
        <w:rPr>
          <w:rFonts w:ascii="Times New Roman" w:hAnsi="Times New Roman" w:cs="Times New Roman"/>
          <w:lang w:val="ru-RU"/>
        </w:rPr>
      </w:pPr>
      <w:r w:rsidRPr="00E03EF0">
        <w:rPr>
          <w:rFonts w:ascii="Times New Roman" w:eastAsia="Times New Roman" w:hAnsi="Times New Roman" w:cs="Times New Roman"/>
          <w:color w:val="333333"/>
          <w:lang w:val="ru-RU"/>
        </w:rPr>
        <w:t>В 2023 году в АО «Петербургская сбытовая компания» внедрена информационная система (ИС) «Мобильный контролер» («</w:t>
      </w:r>
      <w:proofErr w:type="spellStart"/>
      <w:r w:rsidRPr="00E03EF0">
        <w:rPr>
          <w:rFonts w:ascii="Times New Roman" w:eastAsia="Times New Roman" w:hAnsi="Times New Roman" w:cs="Times New Roman"/>
          <w:color w:val="333333"/>
          <w:lang w:val="ru-RU"/>
        </w:rPr>
        <w:t>Алькор</w:t>
      </w:r>
      <w:proofErr w:type="spellEnd"/>
      <w:r w:rsidRPr="00E03EF0">
        <w:rPr>
          <w:rFonts w:ascii="Times New Roman" w:eastAsia="Times New Roman" w:hAnsi="Times New Roman" w:cs="Times New Roman"/>
          <w:color w:val="333333"/>
          <w:lang w:val="ru-RU"/>
        </w:rPr>
        <w:t xml:space="preserve">») для оптимизации работы персонала в части управления заданиями на посещение потребителей </w:t>
      </w:r>
      <w:r w:rsidRPr="00E03EF0">
        <w:rPr>
          <w:rFonts w:ascii="Times New Roman" w:eastAsia="Times New Roman" w:hAnsi="Times New Roman" w:cs="Times New Roman"/>
          <w:color w:val="333333"/>
          <w:lang w:val="ru-RU"/>
        </w:rPr>
        <w:t>(физических лиц), автоматизации процессов организации работ линейных сотрудников компании, сокращения сроков поступления данных о результатах проведенных работ, совершенствования системы контроля выполнения заданий.</w:t>
      </w:r>
    </w:p>
    <w:p w:rsidR="008611B2" w:rsidRPr="00E03EF0" w:rsidRDefault="00E03EF0" w:rsidP="00E03EF0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E03EF0">
        <w:rPr>
          <w:rFonts w:ascii="Times New Roman" w:eastAsia="Times New Roman" w:hAnsi="Times New Roman" w:cs="Times New Roman"/>
          <w:color w:val="333333"/>
          <w:lang w:val="ru-RU"/>
        </w:rPr>
        <w:t>Работа с мобильным приложением ИС, испол</w:t>
      </w:r>
      <w:r w:rsidRPr="00E03EF0">
        <w:rPr>
          <w:rFonts w:ascii="Times New Roman" w:eastAsia="Times New Roman" w:hAnsi="Times New Roman" w:cs="Times New Roman"/>
          <w:color w:val="333333"/>
          <w:lang w:val="ru-RU"/>
        </w:rPr>
        <w:t xml:space="preserve">ьзуемым при работе на линии, требует выдачи мобильного устройства. В составе проекта внедрения ИС было приобретено 100 единиц мобильных устройств (планшетов). Поскольку профили работы линейного персонала разных подразделений отличаются, а </w:t>
      </w:r>
      <w:proofErr w:type="gramStart"/>
      <w:r w:rsidRPr="00E03EF0">
        <w:rPr>
          <w:rFonts w:ascii="Times New Roman" w:eastAsia="Times New Roman" w:hAnsi="Times New Roman" w:cs="Times New Roman"/>
          <w:color w:val="333333"/>
          <w:lang w:val="ru-RU"/>
        </w:rPr>
        <w:t>переход  на</w:t>
      </w:r>
      <w:proofErr w:type="gramEnd"/>
      <w:r w:rsidRPr="00E03EF0">
        <w:rPr>
          <w:rFonts w:ascii="Times New Roman" w:eastAsia="Times New Roman" w:hAnsi="Times New Roman" w:cs="Times New Roman"/>
          <w:color w:val="333333"/>
          <w:lang w:val="ru-RU"/>
        </w:rPr>
        <w:t xml:space="preserve"> работ</w:t>
      </w:r>
      <w:r w:rsidRPr="00E03EF0">
        <w:rPr>
          <w:rFonts w:ascii="Times New Roman" w:eastAsia="Times New Roman" w:hAnsi="Times New Roman" w:cs="Times New Roman"/>
          <w:color w:val="333333"/>
          <w:lang w:val="ru-RU"/>
        </w:rPr>
        <w:t xml:space="preserve">у в ИС требует перестройки бизнес-процессов, запуск и выдача устройств проводились поэтапно, но в настоящее время первоначально приобретенный массив устройств полностью выдан для работы. Заранее приобретать с резервом и держать на хранении </w:t>
      </w:r>
      <w:proofErr w:type="spellStart"/>
      <w:r w:rsidRPr="00E03EF0">
        <w:rPr>
          <w:rFonts w:ascii="Times New Roman" w:eastAsia="Times New Roman" w:hAnsi="Times New Roman" w:cs="Times New Roman"/>
          <w:color w:val="333333"/>
          <w:lang w:val="ru-RU"/>
        </w:rPr>
        <w:t>нецелосообразно</w:t>
      </w:r>
      <w:proofErr w:type="spellEnd"/>
      <w:r w:rsidRPr="00E03EF0">
        <w:rPr>
          <w:rFonts w:ascii="Times New Roman" w:eastAsia="Times New Roman" w:hAnsi="Times New Roman" w:cs="Times New Roman"/>
          <w:color w:val="333333"/>
          <w:lang w:val="ru-RU"/>
        </w:rPr>
        <w:t>,</w:t>
      </w:r>
      <w:r w:rsidRPr="00E03EF0">
        <w:rPr>
          <w:rFonts w:ascii="Times New Roman" w:eastAsia="Times New Roman" w:hAnsi="Times New Roman" w:cs="Times New Roman"/>
          <w:color w:val="333333"/>
          <w:lang w:val="ru-RU"/>
        </w:rPr>
        <w:t xml:space="preserve"> т.к. происходит устаревание модели, потеря характеристик аккумуляторов и др.</w:t>
      </w:r>
    </w:p>
    <w:p w:rsidR="008611B2" w:rsidRPr="00E03EF0" w:rsidRDefault="00E03EF0" w:rsidP="00E03EF0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E03EF0">
        <w:rPr>
          <w:rFonts w:ascii="Times New Roman" w:eastAsia="Times New Roman" w:hAnsi="Times New Roman" w:cs="Times New Roman"/>
          <w:color w:val="333333"/>
          <w:lang w:val="ru-RU"/>
        </w:rPr>
        <w:t>Для полноценного функционирования ИС необходимо обеспечить мобильным приложением всех действующих сотрудников, занятых линейной работой, которым ранее мобильные устройства не выд</w:t>
      </w:r>
      <w:r w:rsidRPr="00E03EF0">
        <w:rPr>
          <w:rFonts w:ascii="Times New Roman" w:eastAsia="Times New Roman" w:hAnsi="Times New Roman" w:cs="Times New Roman"/>
          <w:color w:val="333333"/>
          <w:lang w:val="ru-RU"/>
        </w:rPr>
        <w:t>авались (работа ведется без сквозной автоматизации с большим количеством разрозненной первичной, учетной и отчетной документации, в том числе на бумажных носителях).</w:t>
      </w:r>
    </w:p>
    <w:p w:rsidR="008611B2" w:rsidRPr="00E03EF0" w:rsidRDefault="00E03EF0" w:rsidP="00E03EF0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E03EF0">
        <w:rPr>
          <w:rFonts w:ascii="Times New Roman" w:eastAsia="Times New Roman" w:hAnsi="Times New Roman" w:cs="Times New Roman"/>
          <w:color w:val="333333"/>
          <w:lang w:val="ru-RU"/>
        </w:rPr>
        <w:t xml:space="preserve">Линейная работа входит в состав </w:t>
      </w:r>
      <w:proofErr w:type="gramStart"/>
      <w:r w:rsidRPr="00E03EF0">
        <w:rPr>
          <w:rFonts w:ascii="Times New Roman" w:eastAsia="Times New Roman" w:hAnsi="Times New Roman" w:cs="Times New Roman"/>
          <w:color w:val="333333"/>
          <w:lang w:val="ru-RU"/>
        </w:rPr>
        <w:t>обязанностей  нескольких</w:t>
      </w:r>
      <w:proofErr w:type="gramEnd"/>
      <w:r w:rsidRPr="00E03EF0">
        <w:rPr>
          <w:rFonts w:ascii="Times New Roman" w:eastAsia="Times New Roman" w:hAnsi="Times New Roman" w:cs="Times New Roman"/>
          <w:color w:val="333333"/>
          <w:lang w:val="ru-RU"/>
        </w:rPr>
        <w:t xml:space="preserve"> подразделений дирекции по техниче</w:t>
      </w:r>
      <w:r w:rsidRPr="00E03EF0">
        <w:rPr>
          <w:rFonts w:ascii="Times New Roman" w:eastAsia="Times New Roman" w:hAnsi="Times New Roman" w:cs="Times New Roman"/>
          <w:color w:val="333333"/>
          <w:lang w:val="ru-RU"/>
        </w:rPr>
        <w:t xml:space="preserve">скому сопровождению сбытовой деятельности и ОСЭ. Распределение текущих пользователей:  </w:t>
      </w:r>
    </w:p>
    <w:p w:rsidR="008611B2" w:rsidRPr="00E03EF0" w:rsidRDefault="00E03EF0" w:rsidP="00E03EF0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E03EF0">
        <w:rPr>
          <w:rFonts w:ascii="Times New Roman" w:eastAsia="Times New Roman" w:hAnsi="Times New Roman" w:cs="Times New Roman"/>
          <w:color w:val="333333"/>
          <w:lang w:val="ru-RU"/>
        </w:rPr>
        <w:t>Отдел организации контроля потребления электроэнергии – 43;</w:t>
      </w:r>
    </w:p>
    <w:p w:rsidR="008611B2" w:rsidRPr="00E03EF0" w:rsidRDefault="00E03EF0" w:rsidP="00E03EF0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E03EF0">
        <w:rPr>
          <w:rFonts w:ascii="Times New Roman" w:eastAsia="Times New Roman" w:hAnsi="Times New Roman" w:cs="Times New Roman"/>
          <w:color w:val="333333"/>
          <w:lang w:val="ru-RU"/>
        </w:rPr>
        <w:t>Производственно-технический отдел – 34;</w:t>
      </w:r>
    </w:p>
    <w:p w:rsidR="008611B2" w:rsidRPr="00E03EF0" w:rsidRDefault="00E03EF0" w:rsidP="00E03EF0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E03EF0">
        <w:rPr>
          <w:rFonts w:ascii="Times New Roman" w:eastAsia="Times New Roman" w:hAnsi="Times New Roman" w:cs="Times New Roman"/>
          <w:color w:val="333333"/>
          <w:lang w:val="ru-RU"/>
        </w:rPr>
        <w:t>Отдел электротехнических работ – 20;</w:t>
      </w:r>
    </w:p>
    <w:p w:rsidR="008611B2" w:rsidRPr="00E03EF0" w:rsidRDefault="00E03EF0" w:rsidP="00E03EF0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E03EF0">
        <w:rPr>
          <w:rFonts w:ascii="Times New Roman" w:eastAsia="Times New Roman" w:hAnsi="Times New Roman" w:cs="Times New Roman"/>
          <w:color w:val="333333"/>
          <w:lang w:val="ru-RU"/>
        </w:rPr>
        <w:t>Лабораторно-технический отдел –</w:t>
      </w:r>
      <w:r w:rsidRPr="00E03EF0">
        <w:rPr>
          <w:rFonts w:ascii="Times New Roman" w:eastAsia="Times New Roman" w:hAnsi="Times New Roman" w:cs="Times New Roman"/>
          <w:color w:val="333333"/>
          <w:lang w:val="ru-RU"/>
        </w:rPr>
        <w:t xml:space="preserve"> 8;</w:t>
      </w:r>
    </w:p>
    <w:p w:rsidR="008611B2" w:rsidRPr="00E03EF0" w:rsidRDefault="00E03EF0" w:rsidP="00E03EF0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E03EF0">
        <w:rPr>
          <w:rFonts w:ascii="Times New Roman" w:eastAsia="Times New Roman" w:hAnsi="Times New Roman" w:cs="Times New Roman"/>
          <w:color w:val="333333"/>
          <w:lang w:val="ru-RU"/>
        </w:rPr>
        <w:t>Отдел АСКУЭ – 3;</w:t>
      </w:r>
    </w:p>
    <w:p w:rsidR="008611B2" w:rsidRPr="00E03EF0" w:rsidRDefault="00E03EF0" w:rsidP="00E03EF0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E03EF0">
        <w:rPr>
          <w:rFonts w:ascii="Times New Roman" w:eastAsia="Times New Roman" w:hAnsi="Times New Roman" w:cs="Times New Roman"/>
          <w:color w:val="333333"/>
          <w:lang w:val="ru-RU"/>
        </w:rPr>
        <w:t>Отделения по сбыту электроэнергии – 26.</w:t>
      </w:r>
    </w:p>
    <w:p w:rsidR="008611B2" w:rsidRPr="00E03EF0" w:rsidRDefault="00E03EF0" w:rsidP="00E03EF0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E03EF0">
        <w:rPr>
          <w:rFonts w:ascii="Times New Roman" w:eastAsia="Times New Roman" w:hAnsi="Times New Roman" w:cs="Times New Roman"/>
          <w:color w:val="333333"/>
          <w:lang w:val="ru-RU"/>
        </w:rPr>
        <w:t>Таким образом, уже в настоящее время мобильное приложение ИС использует 134 пользователя, не считая тестовых и сотрудников подрядчика (устройства приобретает самостоятельно).</w:t>
      </w:r>
    </w:p>
    <w:p w:rsidR="008611B2" w:rsidRPr="00E03EF0" w:rsidRDefault="00E03EF0" w:rsidP="00E03EF0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E03EF0">
        <w:rPr>
          <w:rFonts w:ascii="Times New Roman" w:eastAsia="Times New Roman" w:hAnsi="Times New Roman" w:cs="Times New Roman"/>
          <w:color w:val="333333"/>
          <w:lang w:val="ru-RU"/>
        </w:rPr>
        <w:t>При этом общая штатн</w:t>
      </w:r>
      <w:r w:rsidRPr="00E03EF0">
        <w:rPr>
          <w:rFonts w:ascii="Times New Roman" w:eastAsia="Times New Roman" w:hAnsi="Times New Roman" w:cs="Times New Roman"/>
          <w:color w:val="333333"/>
          <w:lang w:val="ru-RU"/>
        </w:rPr>
        <w:t xml:space="preserve">ая численность с функционалом линейной работы по перечисленным подразделениям составляет около 200 ед. </w:t>
      </w:r>
      <w:proofErr w:type="spellStart"/>
      <w:r w:rsidRPr="00E03EF0">
        <w:rPr>
          <w:rFonts w:ascii="Times New Roman" w:eastAsia="Times New Roman" w:hAnsi="Times New Roman" w:cs="Times New Roman"/>
          <w:color w:val="333333"/>
        </w:rPr>
        <w:t>Соответственно</w:t>
      </w:r>
      <w:proofErr w:type="spellEnd"/>
      <w:r w:rsidRPr="00E03EF0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E03EF0">
        <w:rPr>
          <w:rFonts w:ascii="Times New Roman" w:eastAsia="Times New Roman" w:hAnsi="Times New Roman" w:cs="Times New Roman"/>
          <w:color w:val="333333"/>
        </w:rPr>
        <w:t>необходимо</w:t>
      </w:r>
      <w:proofErr w:type="spellEnd"/>
      <w:r w:rsidRPr="00E03EF0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E03EF0">
        <w:rPr>
          <w:rFonts w:ascii="Times New Roman" w:eastAsia="Times New Roman" w:hAnsi="Times New Roman" w:cs="Times New Roman"/>
          <w:color w:val="333333"/>
        </w:rPr>
        <w:t>увеличение</w:t>
      </w:r>
      <w:proofErr w:type="spellEnd"/>
      <w:r w:rsidRPr="00E03EF0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E03EF0">
        <w:rPr>
          <w:rFonts w:ascii="Times New Roman" w:eastAsia="Times New Roman" w:hAnsi="Times New Roman" w:cs="Times New Roman"/>
          <w:color w:val="333333"/>
        </w:rPr>
        <w:t>парка</w:t>
      </w:r>
      <w:proofErr w:type="spellEnd"/>
      <w:r w:rsidRPr="00E03EF0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E03EF0">
        <w:rPr>
          <w:rFonts w:ascii="Times New Roman" w:eastAsia="Times New Roman" w:hAnsi="Times New Roman" w:cs="Times New Roman"/>
          <w:color w:val="333333"/>
        </w:rPr>
        <w:t>планшетов</w:t>
      </w:r>
      <w:proofErr w:type="spellEnd"/>
      <w:r w:rsidRPr="00E03EF0">
        <w:rPr>
          <w:rFonts w:ascii="Times New Roman" w:eastAsia="Times New Roman" w:hAnsi="Times New Roman" w:cs="Times New Roman"/>
          <w:color w:val="333333"/>
        </w:rPr>
        <w:t xml:space="preserve">. </w:t>
      </w:r>
      <w:r w:rsidRPr="00E03EF0">
        <w:rPr>
          <w:rFonts w:ascii="Times New Roman" w:eastAsia="Times New Roman" w:hAnsi="Times New Roman" w:cs="Times New Roman"/>
          <w:color w:val="333333"/>
          <w:lang w:val="ru-RU"/>
        </w:rPr>
        <w:t xml:space="preserve">С учётом оценки потребностей в оборудовании на 2025 год, и того фактора, что для </w:t>
      </w:r>
      <w:r w:rsidRPr="00E03EF0">
        <w:rPr>
          <w:rFonts w:ascii="Times New Roman" w:eastAsia="Times New Roman" w:hAnsi="Times New Roman" w:cs="Times New Roman"/>
          <w:color w:val="333333"/>
          <w:lang w:val="ru-RU"/>
        </w:rPr>
        <w:lastRenderedPageBreak/>
        <w:t>ряда пользователей</w:t>
      </w:r>
      <w:r w:rsidRPr="00E03EF0">
        <w:rPr>
          <w:rFonts w:ascii="Times New Roman" w:eastAsia="Times New Roman" w:hAnsi="Times New Roman" w:cs="Times New Roman"/>
          <w:color w:val="333333"/>
          <w:lang w:val="ru-RU"/>
        </w:rPr>
        <w:t>, исходя из габаритов и ограниченных операций в системе, предпочтительнее использование смартфонов (приобретаются в рамках операционной деятельности), планируется покупка 50 шт. дополнительных устройств.</w:t>
      </w:r>
    </w:p>
    <w:p w:rsidR="008611B2" w:rsidRPr="00E03EF0" w:rsidRDefault="008611B2" w:rsidP="00E03EF0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8611B2" w:rsidRPr="00E03EF0" w:rsidRDefault="008611B2" w:rsidP="00E03EF0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8611B2" w:rsidRPr="00E03EF0" w:rsidRDefault="00E03EF0" w:rsidP="00E03EF0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E03EF0">
        <w:rPr>
          <w:rFonts w:ascii="Times New Roman" w:hAnsi="Times New Roman" w:cs="Times New Roman"/>
        </w:rPr>
        <w:t>Цель</w:t>
      </w:r>
      <w:proofErr w:type="spellEnd"/>
      <w:r w:rsidRPr="00E03EF0">
        <w:rPr>
          <w:rFonts w:ascii="Times New Roman" w:hAnsi="Times New Roman" w:cs="Times New Roman"/>
        </w:rPr>
        <w:t xml:space="preserve"> ИПКВ ИТ</w:t>
      </w:r>
    </w:p>
    <w:p w:rsidR="008611B2" w:rsidRPr="00E03EF0" w:rsidRDefault="00E03EF0" w:rsidP="00E03EF0">
      <w:pPr>
        <w:jc w:val="both"/>
        <w:rPr>
          <w:rFonts w:ascii="Times New Roman" w:hAnsi="Times New Roman" w:cs="Times New Roman"/>
          <w:lang w:val="ru-RU"/>
        </w:rPr>
      </w:pPr>
      <w:r w:rsidRPr="00E03EF0">
        <w:rPr>
          <w:rFonts w:ascii="Times New Roman" w:hAnsi="Times New Roman" w:cs="Times New Roman"/>
          <w:lang w:val="ru-RU"/>
        </w:rPr>
        <w:t>Целью проекта является автоматизация процесса линейной работы в Обществе.</w:t>
      </w:r>
    </w:p>
    <w:p w:rsidR="008611B2" w:rsidRPr="00E03EF0" w:rsidRDefault="00E03EF0" w:rsidP="00E03EF0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E03EF0">
        <w:rPr>
          <w:rFonts w:ascii="Times New Roman" w:hAnsi="Times New Roman" w:cs="Times New Roman"/>
        </w:rPr>
        <w:t>Технические</w:t>
      </w:r>
      <w:proofErr w:type="spellEnd"/>
      <w:r w:rsidRPr="00E03EF0">
        <w:rPr>
          <w:rFonts w:ascii="Times New Roman" w:hAnsi="Times New Roman" w:cs="Times New Roman"/>
        </w:rPr>
        <w:t xml:space="preserve"> </w:t>
      </w:r>
      <w:proofErr w:type="spellStart"/>
      <w:r w:rsidRPr="00E03EF0">
        <w:rPr>
          <w:rFonts w:ascii="Times New Roman" w:hAnsi="Times New Roman" w:cs="Times New Roman"/>
        </w:rPr>
        <w:t>решения</w:t>
      </w:r>
      <w:proofErr w:type="spellEnd"/>
      <w:r w:rsidRPr="00E03EF0">
        <w:rPr>
          <w:rFonts w:ascii="Times New Roman" w:hAnsi="Times New Roman" w:cs="Times New Roman"/>
        </w:rPr>
        <w:t xml:space="preserve"> ИПКВ ИТ</w:t>
      </w:r>
    </w:p>
    <w:p w:rsidR="008611B2" w:rsidRPr="00E03EF0" w:rsidRDefault="00E03EF0" w:rsidP="00E03EF0">
      <w:pPr>
        <w:jc w:val="both"/>
        <w:rPr>
          <w:rFonts w:ascii="Times New Roman" w:hAnsi="Times New Roman" w:cs="Times New Roman"/>
          <w:lang w:val="ru-RU"/>
        </w:rPr>
      </w:pPr>
      <w:r w:rsidRPr="00E03EF0">
        <w:rPr>
          <w:rFonts w:ascii="Times New Roman" w:eastAsia="Times New Roman" w:hAnsi="Times New Roman" w:cs="Times New Roman"/>
          <w:color w:val="333333"/>
          <w:lang w:val="ru-RU"/>
        </w:rPr>
        <w:t>В рамках проекта планируется приобретение 50 шт. отечественных планшетов.</w:t>
      </w:r>
    </w:p>
    <w:p w:rsidR="008611B2" w:rsidRPr="00E03EF0" w:rsidRDefault="00E03EF0" w:rsidP="00E03EF0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E03EF0">
        <w:rPr>
          <w:rFonts w:ascii="Times New Roman" w:eastAsia="Times New Roman" w:hAnsi="Times New Roman" w:cs="Times New Roman"/>
          <w:color w:val="333333"/>
          <w:lang w:val="ru-RU"/>
        </w:rPr>
        <w:t xml:space="preserve">По результатам анализа рынка, к приобретению планируются планшеты </w:t>
      </w:r>
      <w:r w:rsidRPr="00E03EF0">
        <w:rPr>
          <w:rFonts w:ascii="Times New Roman" w:eastAsia="Times New Roman" w:hAnsi="Times New Roman" w:cs="Times New Roman"/>
          <w:color w:val="333333"/>
        </w:rPr>
        <w:t>Aquarius</w:t>
      </w:r>
      <w:r w:rsidRPr="00E03EF0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proofErr w:type="spellStart"/>
      <w:r w:rsidRPr="00E03EF0">
        <w:rPr>
          <w:rFonts w:ascii="Times New Roman" w:eastAsia="Times New Roman" w:hAnsi="Times New Roman" w:cs="Times New Roman"/>
          <w:color w:val="333333"/>
        </w:rPr>
        <w:t>Cmp</w:t>
      </w:r>
      <w:proofErr w:type="spellEnd"/>
      <w:r w:rsidRPr="00E03EF0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E03EF0">
        <w:rPr>
          <w:rFonts w:ascii="Times New Roman" w:eastAsia="Times New Roman" w:hAnsi="Times New Roman" w:cs="Times New Roman"/>
          <w:color w:val="333333"/>
        </w:rPr>
        <w:t>N</w:t>
      </w:r>
      <w:r w:rsidRPr="00E03EF0">
        <w:rPr>
          <w:rFonts w:ascii="Times New Roman" w:eastAsia="Times New Roman" w:hAnsi="Times New Roman" w:cs="Times New Roman"/>
          <w:color w:val="333333"/>
        </w:rPr>
        <w:t>S</w:t>
      </w:r>
      <w:r w:rsidRPr="00E03EF0">
        <w:rPr>
          <w:rFonts w:ascii="Times New Roman" w:eastAsia="Times New Roman" w:hAnsi="Times New Roman" w:cs="Times New Roman"/>
          <w:color w:val="333333"/>
          <w:lang w:val="ru-RU"/>
        </w:rPr>
        <w:t>208</w:t>
      </w:r>
      <w:r w:rsidRPr="00E03EF0">
        <w:rPr>
          <w:rFonts w:ascii="Times New Roman" w:eastAsia="Times New Roman" w:hAnsi="Times New Roman" w:cs="Times New Roman"/>
          <w:color w:val="333333"/>
        </w:rPr>
        <w:t>RH</w:t>
      </w:r>
      <w:r w:rsidRPr="00E03EF0">
        <w:rPr>
          <w:rFonts w:ascii="Times New Roman" w:eastAsia="Times New Roman" w:hAnsi="Times New Roman" w:cs="Times New Roman"/>
          <w:color w:val="333333"/>
          <w:lang w:val="ru-RU"/>
        </w:rPr>
        <w:t xml:space="preserve">, которые имеет достаточные технические характеристики для работы с приложением ИС Мобильный контролер, а также следующие особенности, критически важные в связи с характером использования: ударопрочный корпус с защитой </w:t>
      </w:r>
      <w:r w:rsidRPr="00E03EF0">
        <w:rPr>
          <w:rFonts w:ascii="Times New Roman" w:eastAsia="Times New Roman" w:hAnsi="Times New Roman" w:cs="Times New Roman"/>
          <w:color w:val="333333"/>
        </w:rPr>
        <w:t>IP</w:t>
      </w:r>
      <w:r w:rsidRPr="00E03EF0">
        <w:rPr>
          <w:rFonts w:ascii="Times New Roman" w:eastAsia="Times New Roman" w:hAnsi="Times New Roman" w:cs="Times New Roman"/>
          <w:color w:val="333333"/>
          <w:lang w:val="ru-RU"/>
        </w:rPr>
        <w:t>68, работа в диапазоне темпер</w:t>
      </w:r>
      <w:r w:rsidRPr="00E03EF0">
        <w:rPr>
          <w:rFonts w:ascii="Times New Roman" w:eastAsia="Times New Roman" w:hAnsi="Times New Roman" w:cs="Times New Roman"/>
          <w:color w:val="333333"/>
          <w:lang w:val="ru-RU"/>
        </w:rPr>
        <w:t xml:space="preserve">атур от -20 до +55 °С; батарея емкостью </w:t>
      </w:r>
      <w:r w:rsidRPr="00E03EF0">
        <w:rPr>
          <w:rFonts w:ascii="Times New Roman" w:eastAsia="Times New Roman" w:hAnsi="Times New Roman" w:cs="Times New Roman"/>
          <w:color w:val="333333"/>
        </w:rPr>
        <w:t xml:space="preserve">10 000 </w:t>
      </w:r>
      <w:proofErr w:type="spellStart"/>
      <w:r w:rsidRPr="00E03EF0">
        <w:rPr>
          <w:rFonts w:ascii="Times New Roman" w:eastAsia="Times New Roman" w:hAnsi="Times New Roman" w:cs="Times New Roman"/>
          <w:color w:val="333333"/>
        </w:rPr>
        <w:t>мА·ч</w:t>
      </w:r>
      <w:proofErr w:type="spellEnd"/>
      <w:r w:rsidRPr="00E03EF0">
        <w:rPr>
          <w:rFonts w:ascii="Times New Roman" w:eastAsia="Times New Roman" w:hAnsi="Times New Roman" w:cs="Times New Roman"/>
          <w:color w:val="333333"/>
        </w:rPr>
        <w:t xml:space="preserve"> (</w:t>
      </w:r>
      <w:proofErr w:type="spellStart"/>
      <w:r w:rsidRPr="00E03EF0">
        <w:rPr>
          <w:rFonts w:ascii="Times New Roman" w:eastAsia="Times New Roman" w:hAnsi="Times New Roman" w:cs="Times New Roman"/>
          <w:color w:val="333333"/>
        </w:rPr>
        <w:t>опционально</w:t>
      </w:r>
      <w:proofErr w:type="spellEnd"/>
      <w:r w:rsidRPr="00E03EF0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E03EF0">
        <w:rPr>
          <w:rFonts w:ascii="Times New Roman" w:eastAsia="Times New Roman" w:hAnsi="Times New Roman" w:cs="Times New Roman"/>
          <w:color w:val="333333"/>
        </w:rPr>
        <w:t>дополнительная</w:t>
      </w:r>
      <w:proofErr w:type="spellEnd"/>
      <w:r w:rsidRPr="00E03EF0">
        <w:rPr>
          <w:rFonts w:ascii="Times New Roman" w:eastAsia="Times New Roman" w:hAnsi="Times New Roman" w:cs="Times New Roman"/>
          <w:color w:val="333333"/>
        </w:rPr>
        <w:t xml:space="preserve"> + 16 000 </w:t>
      </w:r>
      <w:proofErr w:type="spellStart"/>
      <w:r w:rsidRPr="00E03EF0">
        <w:rPr>
          <w:rFonts w:ascii="Times New Roman" w:eastAsia="Times New Roman" w:hAnsi="Times New Roman" w:cs="Times New Roman"/>
          <w:color w:val="333333"/>
        </w:rPr>
        <w:t>мА·ч</w:t>
      </w:r>
      <w:proofErr w:type="spellEnd"/>
      <w:r w:rsidRPr="00E03EF0">
        <w:rPr>
          <w:rFonts w:ascii="Times New Roman" w:eastAsia="Times New Roman" w:hAnsi="Times New Roman" w:cs="Times New Roman"/>
          <w:color w:val="333333"/>
        </w:rPr>
        <w:t xml:space="preserve">). </w:t>
      </w:r>
      <w:r w:rsidRPr="00E03EF0">
        <w:rPr>
          <w:rFonts w:ascii="Times New Roman" w:eastAsia="Times New Roman" w:hAnsi="Times New Roman" w:cs="Times New Roman"/>
          <w:color w:val="333333"/>
          <w:lang w:val="ru-RU"/>
        </w:rPr>
        <w:t>Выбор модели был на основании того, что на сегодня это единственная реестровая модель в защищённом исполнении.</w:t>
      </w:r>
    </w:p>
    <w:p w:rsidR="008611B2" w:rsidRPr="00E03EF0" w:rsidRDefault="00E03EF0" w:rsidP="00E03EF0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E03EF0">
        <w:rPr>
          <w:rFonts w:ascii="Times New Roman" w:eastAsia="Times New Roman" w:hAnsi="Times New Roman" w:cs="Times New Roman"/>
          <w:color w:val="333333"/>
          <w:lang w:val="ru-RU"/>
        </w:rPr>
        <w:t>На планшет устанавливается мобильное приложение с</w:t>
      </w:r>
      <w:r w:rsidRPr="00E03EF0">
        <w:rPr>
          <w:rFonts w:ascii="Times New Roman" w:eastAsia="Times New Roman" w:hAnsi="Times New Roman" w:cs="Times New Roman"/>
          <w:color w:val="333333"/>
          <w:lang w:val="ru-RU"/>
        </w:rPr>
        <w:t>истемы Мобильный контролер (</w:t>
      </w:r>
      <w:proofErr w:type="spellStart"/>
      <w:r w:rsidRPr="00E03EF0">
        <w:rPr>
          <w:rFonts w:ascii="Times New Roman" w:eastAsia="Times New Roman" w:hAnsi="Times New Roman" w:cs="Times New Roman"/>
          <w:color w:val="333333"/>
          <w:lang w:val="ru-RU"/>
        </w:rPr>
        <w:t>СИГМА.Алькор</w:t>
      </w:r>
      <w:proofErr w:type="spellEnd"/>
      <w:r w:rsidRPr="00E03EF0">
        <w:rPr>
          <w:rFonts w:ascii="Times New Roman" w:eastAsia="Times New Roman" w:hAnsi="Times New Roman" w:cs="Times New Roman"/>
          <w:color w:val="333333"/>
          <w:lang w:val="ru-RU"/>
        </w:rPr>
        <w:t xml:space="preserve">) и СКЗИ </w:t>
      </w:r>
      <w:proofErr w:type="spellStart"/>
      <w:r w:rsidRPr="00E03EF0">
        <w:rPr>
          <w:rFonts w:ascii="Times New Roman" w:eastAsia="Times New Roman" w:hAnsi="Times New Roman" w:cs="Times New Roman"/>
          <w:color w:val="333333"/>
        </w:rPr>
        <w:t>Vipnet</w:t>
      </w:r>
      <w:proofErr w:type="spellEnd"/>
      <w:r w:rsidRPr="00E03EF0">
        <w:rPr>
          <w:rFonts w:ascii="Times New Roman" w:eastAsia="Times New Roman" w:hAnsi="Times New Roman" w:cs="Times New Roman"/>
          <w:color w:val="333333"/>
          <w:lang w:val="ru-RU"/>
        </w:rPr>
        <w:t>.</w:t>
      </w:r>
    </w:p>
    <w:p w:rsidR="008611B2" w:rsidRPr="00E03EF0" w:rsidRDefault="00E03EF0" w:rsidP="00E03EF0">
      <w:pPr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E03EF0">
        <w:rPr>
          <w:rFonts w:ascii="Times New Roman" w:eastAsia="Times New Roman" w:hAnsi="Times New Roman" w:cs="Times New Roman"/>
          <w:color w:val="333333"/>
          <w:lang w:val="ru-RU"/>
        </w:rPr>
        <w:t xml:space="preserve">Оборудование включено в реестр Минпромторга, </w:t>
      </w:r>
      <w:proofErr w:type="spellStart"/>
      <w:r w:rsidRPr="00E03EF0">
        <w:rPr>
          <w:rFonts w:ascii="Times New Roman" w:eastAsia="Times New Roman" w:hAnsi="Times New Roman" w:cs="Times New Roman"/>
          <w:color w:val="333333"/>
          <w:lang w:val="ru-RU"/>
        </w:rPr>
        <w:t>рееестровая</w:t>
      </w:r>
      <w:proofErr w:type="spellEnd"/>
      <w:r w:rsidRPr="00E03EF0">
        <w:rPr>
          <w:rFonts w:ascii="Times New Roman" w:eastAsia="Times New Roman" w:hAnsi="Times New Roman" w:cs="Times New Roman"/>
          <w:color w:val="333333"/>
          <w:lang w:val="ru-RU"/>
        </w:rPr>
        <w:t xml:space="preserve"> запись № 1385 </w:t>
      </w:r>
      <w:r w:rsidRPr="00E03EF0">
        <w:rPr>
          <w:rFonts w:ascii="Times New Roman" w:eastAsia="Times New Roman" w:hAnsi="Times New Roman" w:cs="Times New Roman"/>
          <w:color w:val="333333"/>
        </w:rPr>
        <w:t></w:t>
      </w:r>
      <w:r w:rsidRPr="00E03EF0">
        <w:rPr>
          <w:rFonts w:ascii="Times New Roman" w:eastAsia="Times New Roman" w:hAnsi="Times New Roman" w:cs="Times New Roman"/>
          <w:color w:val="333333"/>
          <w:lang w:val="ru-RU"/>
        </w:rPr>
        <w:t xml:space="preserve">3, </w:t>
      </w:r>
      <w:proofErr w:type="gramStart"/>
      <w:r w:rsidRPr="00E03EF0">
        <w:rPr>
          <w:rFonts w:ascii="Times New Roman" w:eastAsia="Times New Roman" w:hAnsi="Times New Roman" w:cs="Times New Roman"/>
          <w:color w:val="333333"/>
          <w:lang w:val="ru-RU"/>
        </w:rPr>
        <w:t>обеспечивает  работу</w:t>
      </w:r>
      <w:proofErr w:type="gramEnd"/>
      <w:r w:rsidRPr="00E03EF0">
        <w:rPr>
          <w:rFonts w:ascii="Times New Roman" w:eastAsia="Times New Roman" w:hAnsi="Times New Roman" w:cs="Times New Roman"/>
          <w:color w:val="333333"/>
          <w:lang w:val="ru-RU"/>
        </w:rPr>
        <w:t xml:space="preserve"> с операционной системой </w:t>
      </w:r>
      <w:r w:rsidRPr="00E03EF0">
        <w:rPr>
          <w:rFonts w:ascii="Times New Roman" w:eastAsia="Times New Roman" w:hAnsi="Times New Roman" w:cs="Times New Roman"/>
          <w:color w:val="333333"/>
        </w:rPr>
        <w:t>AOSP</w:t>
      </w:r>
      <w:r w:rsidRPr="00E03EF0">
        <w:rPr>
          <w:rFonts w:ascii="Times New Roman" w:eastAsia="Times New Roman" w:hAnsi="Times New Roman" w:cs="Times New Roman"/>
          <w:color w:val="333333"/>
          <w:lang w:val="ru-RU"/>
        </w:rPr>
        <w:t xml:space="preserve"> (в </w:t>
      </w:r>
      <w:proofErr w:type="spellStart"/>
      <w:r w:rsidRPr="00E03EF0">
        <w:rPr>
          <w:rFonts w:ascii="Times New Roman" w:eastAsia="Times New Roman" w:hAnsi="Times New Roman" w:cs="Times New Roman"/>
          <w:color w:val="333333"/>
          <w:lang w:val="ru-RU"/>
        </w:rPr>
        <w:t>настояшее</w:t>
      </w:r>
      <w:proofErr w:type="spellEnd"/>
      <w:r w:rsidRPr="00E03EF0">
        <w:rPr>
          <w:rFonts w:ascii="Times New Roman" w:eastAsia="Times New Roman" w:hAnsi="Times New Roman" w:cs="Times New Roman"/>
          <w:color w:val="333333"/>
          <w:lang w:val="ru-RU"/>
        </w:rPr>
        <w:t xml:space="preserve"> время приложение ИС базируется на </w:t>
      </w:r>
      <w:r w:rsidRPr="00E03EF0">
        <w:rPr>
          <w:rFonts w:ascii="Times New Roman" w:eastAsia="Times New Roman" w:hAnsi="Times New Roman" w:cs="Times New Roman"/>
          <w:color w:val="333333"/>
        </w:rPr>
        <w:t>Android</w:t>
      </w:r>
      <w:r w:rsidRPr="00E03EF0">
        <w:rPr>
          <w:rFonts w:ascii="Times New Roman" w:eastAsia="Times New Roman" w:hAnsi="Times New Roman" w:cs="Times New Roman"/>
          <w:color w:val="333333"/>
          <w:lang w:val="ru-RU"/>
        </w:rPr>
        <w:t>), но поддерживает т</w:t>
      </w:r>
      <w:r w:rsidRPr="00E03EF0">
        <w:rPr>
          <w:rFonts w:ascii="Times New Roman" w:eastAsia="Times New Roman" w:hAnsi="Times New Roman" w:cs="Times New Roman"/>
          <w:color w:val="333333"/>
          <w:lang w:val="ru-RU"/>
        </w:rPr>
        <w:t xml:space="preserve">акже и отечественную </w:t>
      </w:r>
      <w:r w:rsidRPr="00E03EF0">
        <w:rPr>
          <w:rFonts w:ascii="Times New Roman" w:eastAsia="Times New Roman" w:hAnsi="Times New Roman" w:cs="Times New Roman"/>
          <w:color w:val="333333"/>
        </w:rPr>
        <w:t>ОС «</w:t>
      </w:r>
      <w:proofErr w:type="spellStart"/>
      <w:r w:rsidRPr="00E03EF0">
        <w:rPr>
          <w:rFonts w:ascii="Times New Roman" w:eastAsia="Times New Roman" w:hAnsi="Times New Roman" w:cs="Times New Roman"/>
          <w:color w:val="333333"/>
        </w:rPr>
        <w:t>Аврора</w:t>
      </w:r>
      <w:proofErr w:type="spellEnd"/>
      <w:r w:rsidRPr="00E03EF0">
        <w:rPr>
          <w:rFonts w:ascii="Times New Roman" w:eastAsia="Times New Roman" w:hAnsi="Times New Roman" w:cs="Times New Roman"/>
          <w:color w:val="333333"/>
        </w:rPr>
        <w:t>».</w:t>
      </w:r>
    </w:p>
    <w:p w:rsidR="008611B2" w:rsidRPr="00E03EF0" w:rsidRDefault="008611B2" w:rsidP="00E03EF0">
      <w:pPr>
        <w:jc w:val="both"/>
        <w:rPr>
          <w:rFonts w:ascii="Times New Roman" w:hAnsi="Times New Roman" w:cs="Times New Roman"/>
          <w:color w:val="333333"/>
          <w:sz w:val="26"/>
          <w:szCs w:val="26"/>
        </w:rPr>
      </w:pPr>
    </w:p>
    <w:p w:rsidR="008611B2" w:rsidRPr="00E03EF0" w:rsidRDefault="008611B2" w:rsidP="00E03EF0">
      <w:pPr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bookmarkStart w:id="0" w:name="_GoBack"/>
      <w:bookmarkEnd w:id="0"/>
    </w:p>
    <w:p w:rsidR="008611B2" w:rsidRPr="00E03EF0" w:rsidRDefault="00E03EF0" w:rsidP="00E03EF0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E03EF0">
        <w:rPr>
          <w:rFonts w:ascii="Times New Roman" w:hAnsi="Times New Roman" w:cs="Times New Roman"/>
        </w:rPr>
        <w:t>Дополнительная</w:t>
      </w:r>
      <w:proofErr w:type="spellEnd"/>
      <w:r w:rsidRPr="00E03EF0">
        <w:rPr>
          <w:rFonts w:ascii="Times New Roman" w:hAnsi="Times New Roman" w:cs="Times New Roman"/>
        </w:rPr>
        <w:t xml:space="preserve"> </w:t>
      </w:r>
      <w:proofErr w:type="spellStart"/>
      <w:r w:rsidRPr="00E03EF0">
        <w:rPr>
          <w:rFonts w:ascii="Times New Roman" w:hAnsi="Times New Roman" w:cs="Times New Roman"/>
        </w:rPr>
        <w:t>информация</w:t>
      </w:r>
      <w:proofErr w:type="spellEnd"/>
    </w:p>
    <w:p w:rsidR="008611B2" w:rsidRPr="00E03EF0" w:rsidRDefault="00E03EF0" w:rsidP="00E03EF0">
      <w:pPr>
        <w:jc w:val="both"/>
        <w:rPr>
          <w:rFonts w:ascii="Times New Roman" w:hAnsi="Times New Roman" w:cs="Times New Roman"/>
          <w:lang w:val="ru-RU"/>
        </w:rPr>
      </w:pPr>
      <w:r w:rsidRPr="00E03EF0">
        <w:rPr>
          <w:rFonts w:ascii="Times New Roman" w:eastAsia="Times New Roman" w:hAnsi="Times New Roman" w:cs="Times New Roman"/>
          <w:color w:val="333333"/>
          <w:lang w:val="ru-RU"/>
        </w:rPr>
        <w:t>Данный ИПКВ не включён в стратегические документы компании, а также не связан с другими проектами.</w:t>
      </w:r>
    </w:p>
    <w:p w:rsidR="008611B2" w:rsidRPr="00E03EF0" w:rsidRDefault="008611B2">
      <w:pPr>
        <w:rPr>
          <w:color w:val="333333"/>
          <w:sz w:val="26"/>
          <w:szCs w:val="26"/>
          <w:lang w:val="ru-RU"/>
        </w:rPr>
      </w:pPr>
    </w:p>
    <w:p w:rsidR="008611B2" w:rsidRDefault="00E03EF0">
      <w:pPr>
        <w:pStyle w:val="1"/>
        <w:numPr>
          <w:ilvl w:val="0"/>
          <w:numId w:val="1"/>
        </w:numPr>
      </w:pPr>
      <w:r>
        <w:t>ОБЪЕМ, СРОКИ И ЗАТРАТЫ ИПКВ</w:t>
      </w:r>
    </w:p>
    <w:p w:rsidR="008611B2" w:rsidRPr="00E03EF0" w:rsidRDefault="00E03EF0">
      <w:pPr>
        <w:pStyle w:val="Normalparagraph"/>
        <w:rPr>
          <w:lang w:val="ru-RU"/>
        </w:rPr>
      </w:pPr>
      <w:r w:rsidRPr="00E03EF0">
        <w:rPr>
          <w:lang w:val="ru-RU"/>
        </w:rPr>
        <w:t>Начало выполнения работ - 2 квартал 2025 г.</w:t>
      </w:r>
    </w:p>
    <w:p w:rsidR="008611B2" w:rsidRPr="00E03EF0" w:rsidRDefault="00E03EF0">
      <w:pPr>
        <w:pStyle w:val="Normalparagraph"/>
        <w:spacing w:before="57"/>
        <w:rPr>
          <w:lang w:val="ru-RU"/>
        </w:rPr>
      </w:pPr>
      <w:r w:rsidRPr="00E03EF0">
        <w:rPr>
          <w:lang w:val="ru-RU"/>
        </w:rPr>
        <w:t>Завершение работ - 2 к</w:t>
      </w:r>
      <w:r w:rsidRPr="00E03EF0">
        <w:rPr>
          <w:lang w:val="ru-RU"/>
        </w:rPr>
        <w:t>вартал 2025 г.</w:t>
      </w:r>
    </w:p>
    <w:p w:rsidR="008611B2" w:rsidRPr="00E03EF0" w:rsidRDefault="00E03EF0">
      <w:pPr>
        <w:pStyle w:val="Normalparagraph"/>
        <w:spacing w:before="283" w:after="57"/>
        <w:ind w:firstLine="0"/>
        <w:jc w:val="right"/>
        <w:rPr>
          <w:b/>
          <w:bCs/>
          <w:sz w:val="22"/>
          <w:lang w:val="ru-RU"/>
        </w:rPr>
      </w:pPr>
      <w:r w:rsidRPr="00E03EF0">
        <w:rPr>
          <w:b/>
          <w:bCs/>
          <w:sz w:val="22"/>
          <w:lang w:val="ru-RU"/>
        </w:rPr>
        <w:t>Таблица 1.</w:t>
      </w:r>
    </w:p>
    <w:p w:rsidR="008611B2" w:rsidRPr="00E03EF0" w:rsidRDefault="00E03EF0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E03EF0">
        <w:rPr>
          <w:sz w:val="22"/>
          <w:lang w:val="ru-RU"/>
        </w:rPr>
        <w:t>Освоение: тыс. единиц национальной валюты без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466"/>
        <w:gridCol w:w="992"/>
        <w:gridCol w:w="992"/>
        <w:gridCol w:w="1260"/>
        <w:gridCol w:w="1497"/>
        <w:gridCol w:w="1191"/>
      </w:tblGrid>
      <w:tr w:rsidR="008611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8611B2" w:rsidRDefault="00E03EF0">
            <w:pPr>
              <w:pStyle w:val="14"/>
            </w:pPr>
            <w:r>
              <w:t>№</w:t>
            </w:r>
          </w:p>
        </w:tc>
        <w:tc>
          <w:tcPr>
            <w:tcW w:w="1750" w:type="pct"/>
            <w:shd w:val="clear" w:color="8C8C8C" w:fill="8C8C8C"/>
          </w:tcPr>
          <w:p w:rsidR="008611B2" w:rsidRDefault="00E03EF0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8611B2" w:rsidRDefault="00E03EF0">
            <w:pPr>
              <w:pStyle w:val="14"/>
            </w:pPr>
            <w:proofErr w:type="spellStart"/>
            <w:r>
              <w:t>Кол-во</w:t>
            </w:r>
            <w:proofErr w:type="spellEnd"/>
            <w:r>
              <w:t xml:space="preserve">,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992" w:type="dxa"/>
            <w:shd w:val="clear" w:color="8C8C8C" w:fill="8C8C8C"/>
          </w:tcPr>
          <w:p w:rsidR="008611B2" w:rsidRDefault="00E03EF0">
            <w:pPr>
              <w:pStyle w:val="14"/>
            </w:pP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ед</w:t>
            </w:r>
            <w:proofErr w:type="spellEnd"/>
            <w:r>
              <w:t>.</w:t>
            </w:r>
          </w:p>
        </w:tc>
        <w:tc>
          <w:tcPr>
            <w:tcW w:w="1247" w:type="dxa"/>
            <w:shd w:val="clear" w:color="8C8C8C" w:fill="8C8C8C"/>
          </w:tcPr>
          <w:p w:rsidR="008611B2" w:rsidRDefault="00E03EF0">
            <w:pPr>
              <w:pStyle w:val="14"/>
            </w:pPr>
            <w:proofErr w:type="spellStart"/>
            <w: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8611B2" w:rsidRDefault="00E03EF0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8611B2" w:rsidRDefault="00E03EF0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</w:t>
            </w:r>
            <w:proofErr w:type="spellStart"/>
            <w:r>
              <w:t>без</w:t>
            </w:r>
            <w:proofErr w:type="spellEnd"/>
            <w:r>
              <w:t xml:space="preserve"> НДС</w:t>
            </w:r>
          </w:p>
        </w:tc>
      </w:tr>
      <w:tr w:rsidR="008611B2" w:rsidRPr="00E03E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8611B2" w:rsidRPr="00E03EF0" w:rsidRDefault="00E03EF0">
            <w:pPr>
              <w:pStyle w:val="16"/>
              <w:rPr>
                <w:lang w:val="ru-RU"/>
              </w:rPr>
            </w:pPr>
            <w:r w:rsidRPr="00E03EF0">
              <w:rPr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8611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8611B2" w:rsidRDefault="00E03EF0">
            <w:pPr>
              <w:pStyle w:val="16"/>
            </w:pPr>
            <w:r>
              <w:t>1.1.</w:t>
            </w:r>
          </w:p>
        </w:tc>
        <w:tc>
          <w:tcPr>
            <w:tcW w:w="1750" w:type="pct"/>
            <w:vMerge w:val="restart"/>
          </w:tcPr>
          <w:p w:rsidR="008611B2" w:rsidRPr="00E03EF0" w:rsidRDefault="00E03EF0">
            <w:pPr>
              <w:pStyle w:val="16"/>
              <w:rPr>
                <w:lang w:val="ru-RU"/>
              </w:rPr>
            </w:pPr>
            <w:r w:rsidRPr="00E03EF0">
              <w:rPr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992" w:type="dxa"/>
            <w:vMerge w:val="restart"/>
          </w:tcPr>
          <w:p w:rsidR="008611B2" w:rsidRPr="00E03EF0" w:rsidRDefault="00E03EF0">
            <w:pPr>
              <w:pStyle w:val="15"/>
              <w:rPr>
                <w:lang w:val="ru-RU"/>
              </w:rPr>
            </w:pPr>
            <w:r w:rsidRPr="00E03EF0">
              <w:rPr>
                <w:lang w:val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8611B2" w:rsidRPr="00E03EF0" w:rsidRDefault="00E03EF0">
            <w:pPr>
              <w:pStyle w:val="15"/>
              <w:rPr>
                <w:lang w:val="ru-RU"/>
              </w:rPr>
            </w:pPr>
            <w:r w:rsidRPr="00E03EF0">
              <w:rPr>
                <w:lang w:val="ru-RU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8611B2" w:rsidRPr="00E03EF0" w:rsidRDefault="00E03EF0">
            <w:pPr>
              <w:pStyle w:val="15"/>
              <w:rPr>
                <w:lang w:val="ru-RU"/>
              </w:rPr>
            </w:pPr>
            <w:r w:rsidRPr="00E03EF0">
              <w:rPr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8611B2" w:rsidRDefault="00E03EF0">
            <w:pPr>
              <w:pStyle w:val="15"/>
            </w:pPr>
            <w:r>
              <w:t>5 417</w:t>
            </w:r>
          </w:p>
        </w:tc>
        <w:tc>
          <w:tcPr>
            <w:tcW w:w="1191" w:type="dxa"/>
            <w:vMerge w:val="restart"/>
            <w:noWrap/>
          </w:tcPr>
          <w:p w:rsidR="008611B2" w:rsidRDefault="00E03EF0">
            <w:pPr>
              <w:pStyle w:val="15"/>
            </w:pPr>
            <w:r>
              <w:t>5 417</w:t>
            </w:r>
          </w:p>
        </w:tc>
      </w:tr>
      <w:tr w:rsidR="008611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8611B2" w:rsidRDefault="00E03EF0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8611B2" w:rsidRDefault="00E03EF0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8611B2" w:rsidRDefault="00E03EF0">
            <w:pPr>
              <w:pStyle w:val="15"/>
              <w:rPr>
                <w:bCs/>
              </w:rPr>
            </w:pPr>
            <w:r>
              <w:rPr>
                <w:bCs/>
              </w:rPr>
              <w:t>5 417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8611B2" w:rsidRDefault="00E03EF0">
            <w:pPr>
              <w:pStyle w:val="15"/>
              <w:rPr>
                <w:bCs/>
              </w:rPr>
            </w:pPr>
            <w:r>
              <w:rPr>
                <w:bCs/>
              </w:rPr>
              <w:t>5 417</w:t>
            </w:r>
          </w:p>
        </w:tc>
      </w:tr>
      <w:tr w:rsidR="008611B2" w:rsidRPr="00E03E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8611B2" w:rsidRPr="00E03EF0" w:rsidRDefault="00E03EF0">
            <w:pPr>
              <w:pStyle w:val="16"/>
              <w:rPr>
                <w:bCs/>
                <w:lang w:val="ru-RU"/>
              </w:rPr>
            </w:pPr>
            <w:r w:rsidRPr="00E03EF0">
              <w:rPr>
                <w:lang w:val="ru-RU"/>
              </w:rPr>
              <w:lastRenderedPageBreak/>
              <w:t>2. Затраты, относящиеся на операционную деятельность</w:t>
            </w:r>
          </w:p>
        </w:tc>
      </w:tr>
      <w:tr w:rsidR="008611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8611B2" w:rsidRDefault="00E03EF0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8611B2" w:rsidRDefault="008611B2">
            <w:pPr>
              <w:pStyle w:val="15"/>
              <w:rPr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8611B2" w:rsidRDefault="008611B2">
            <w:pPr>
              <w:pStyle w:val="15"/>
              <w:rPr>
                <w:bCs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8611B2" w:rsidRDefault="008611B2">
            <w:pPr>
              <w:pStyle w:val="15"/>
              <w:rPr>
                <w:bCs/>
              </w:rPr>
            </w:pPr>
          </w:p>
        </w:tc>
      </w:tr>
      <w:tr w:rsidR="008611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8611B2" w:rsidRDefault="00E03EF0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8611B2" w:rsidRDefault="00E03EF0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8611B2" w:rsidRDefault="00E03EF0">
            <w:pPr>
              <w:pStyle w:val="15"/>
              <w:rPr>
                <w:bCs/>
              </w:rPr>
            </w:pPr>
            <w:r>
              <w:rPr>
                <w:bCs/>
              </w:rPr>
              <w:t>5 417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8611B2" w:rsidRDefault="00E03EF0">
            <w:pPr>
              <w:pStyle w:val="15"/>
              <w:rPr>
                <w:bCs/>
              </w:rPr>
            </w:pPr>
            <w:r>
              <w:rPr>
                <w:bCs/>
              </w:rPr>
              <w:t>5 417</w:t>
            </w:r>
          </w:p>
        </w:tc>
      </w:tr>
    </w:tbl>
    <w:p w:rsidR="008611B2" w:rsidRDefault="008611B2"/>
    <w:p w:rsidR="008611B2" w:rsidRDefault="00E03EF0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2.</w:t>
      </w:r>
    </w:p>
    <w:p w:rsidR="008611B2" w:rsidRPr="00E03EF0" w:rsidRDefault="00E03EF0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E03EF0">
        <w:rPr>
          <w:sz w:val="22"/>
          <w:lang w:val="ru-RU"/>
        </w:rPr>
        <w:t>Финансирование: тыс. единиц национальной валюты с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466"/>
        <w:gridCol w:w="992"/>
        <w:gridCol w:w="992"/>
        <w:gridCol w:w="1260"/>
        <w:gridCol w:w="1497"/>
        <w:gridCol w:w="1191"/>
      </w:tblGrid>
      <w:tr w:rsidR="008611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8611B2" w:rsidRDefault="00E03EF0">
            <w:pPr>
              <w:pStyle w:val="14"/>
            </w:pPr>
            <w:r>
              <w:t>№</w:t>
            </w:r>
          </w:p>
        </w:tc>
        <w:tc>
          <w:tcPr>
            <w:tcW w:w="1750" w:type="pct"/>
            <w:shd w:val="clear" w:color="8C8C8C" w:fill="8C8C8C"/>
          </w:tcPr>
          <w:p w:rsidR="008611B2" w:rsidRDefault="00E03EF0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8611B2" w:rsidRDefault="00E03EF0">
            <w:pPr>
              <w:pStyle w:val="14"/>
            </w:pPr>
            <w:proofErr w:type="spellStart"/>
            <w:r>
              <w:t>Кол-во</w:t>
            </w:r>
            <w:proofErr w:type="spellEnd"/>
            <w:r>
              <w:t xml:space="preserve">,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992" w:type="dxa"/>
            <w:shd w:val="clear" w:color="8C8C8C" w:fill="8C8C8C"/>
          </w:tcPr>
          <w:p w:rsidR="008611B2" w:rsidRDefault="00E03EF0">
            <w:pPr>
              <w:pStyle w:val="14"/>
            </w:pP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ед</w:t>
            </w:r>
            <w:proofErr w:type="spellEnd"/>
            <w:r>
              <w:t>.</w:t>
            </w:r>
          </w:p>
        </w:tc>
        <w:tc>
          <w:tcPr>
            <w:tcW w:w="1247" w:type="dxa"/>
            <w:shd w:val="clear" w:color="8C8C8C" w:fill="8C8C8C"/>
          </w:tcPr>
          <w:p w:rsidR="008611B2" w:rsidRDefault="00E03EF0">
            <w:pPr>
              <w:pStyle w:val="14"/>
            </w:pPr>
            <w:proofErr w:type="spellStart"/>
            <w: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8611B2" w:rsidRDefault="00E03EF0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8611B2" w:rsidRDefault="00E03EF0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с НДС</w:t>
            </w:r>
          </w:p>
        </w:tc>
      </w:tr>
      <w:tr w:rsidR="008611B2" w:rsidRPr="00E03E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8611B2" w:rsidRPr="00E03EF0" w:rsidRDefault="00E03EF0">
            <w:pPr>
              <w:pStyle w:val="16"/>
              <w:rPr>
                <w:lang w:val="ru-RU"/>
              </w:rPr>
            </w:pPr>
            <w:r w:rsidRPr="00E03EF0">
              <w:rPr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8611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8611B2" w:rsidRDefault="00E03EF0">
            <w:pPr>
              <w:pStyle w:val="16"/>
            </w:pPr>
            <w:r>
              <w:t>1.1.</w:t>
            </w:r>
          </w:p>
        </w:tc>
        <w:tc>
          <w:tcPr>
            <w:tcW w:w="1750" w:type="pct"/>
            <w:vMerge w:val="restart"/>
          </w:tcPr>
          <w:p w:rsidR="008611B2" w:rsidRPr="00E03EF0" w:rsidRDefault="00E03EF0">
            <w:pPr>
              <w:pStyle w:val="16"/>
              <w:rPr>
                <w:lang w:val="ru-RU"/>
              </w:rPr>
            </w:pPr>
            <w:r w:rsidRPr="00E03EF0">
              <w:rPr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992" w:type="dxa"/>
            <w:vMerge w:val="restart"/>
          </w:tcPr>
          <w:p w:rsidR="008611B2" w:rsidRPr="00E03EF0" w:rsidRDefault="00E03EF0">
            <w:pPr>
              <w:pStyle w:val="15"/>
              <w:rPr>
                <w:lang w:val="ru-RU"/>
              </w:rPr>
            </w:pPr>
            <w:r w:rsidRPr="00E03EF0">
              <w:rPr>
                <w:lang w:val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8611B2" w:rsidRPr="00E03EF0" w:rsidRDefault="00E03EF0">
            <w:pPr>
              <w:pStyle w:val="15"/>
              <w:rPr>
                <w:lang w:val="ru-RU"/>
              </w:rPr>
            </w:pPr>
            <w:r w:rsidRPr="00E03EF0">
              <w:rPr>
                <w:lang w:val="ru-RU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8611B2" w:rsidRPr="00E03EF0" w:rsidRDefault="00E03EF0">
            <w:pPr>
              <w:pStyle w:val="15"/>
              <w:rPr>
                <w:lang w:val="ru-RU"/>
              </w:rPr>
            </w:pPr>
            <w:r w:rsidRPr="00E03EF0">
              <w:rPr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8611B2" w:rsidRDefault="00E03EF0">
            <w:pPr>
              <w:pStyle w:val="15"/>
            </w:pPr>
            <w:r>
              <w:t>6 500</w:t>
            </w:r>
          </w:p>
        </w:tc>
        <w:tc>
          <w:tcPr>
            <w:tcW w:w="1191" w:type="dxa"/>
            <w:vMerge w:val="restart"/>
            <w:noWrap/>
          </w:tcPr>
          <w:p w:rsidR="008611B2" w:rsidRDefault="00E03EF0">
            <w:pPr>
              <w:pStyle w:val="15"/>
            </w:pPr>
            <w:r>
              <w:t>6 500</w:t>
            </w:r>
          </w:p>
        </w:tc>
      </w:tr>
      <w:tr w:rsidR="008611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8611B2" w:rsidRDefault="00E03EF0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8611B2" w:rsidRDefault="00E03EF0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8611B2" w:rsidRDefault="00E03EF0">
            <w:pPr>
              <w:pStyle w:val="15"/>
              <w:rPr>
                <w:bCs/>
              </w:rPr>
            </w:pPr>
            <w:r>
              <w:rPr>
                <w:bCs/>
              </w:rPr>
              <w:t>6 500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8611B2" w:rsidRDefault="00E03EF0">
            <w:pPr>
              <w:pStyle w:val="15"/>
              <w:rPr>
                <w:bCs/>
              </w:rPr>
            </w:pPr>
            <w:r>
              <w:rPr>
                <w:bCs/>
              </w:rPr>
              <w:t>6 500</w:t>
            </w:r>
          </w:p>
        </w:tc>
      </w:tr>
      <w:tr w:rsidR="008611B2" w:rsidRPr="00E03E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8611B2" w:rsidRPr="00E03EF0" w:rsidRDefault="00E03EF0">
            <w:pPr>
              <w:pStyle w:val="16"/>
              <w:rPr>
                <w:bCs/>
                <w:lang w:val="ru-RU"/>
              </w:rPr>
            </w:pPr>
            <w:r w:rsidRPr="00E03EF0">
              <w:rPr>
                <w:lang w:val="ru-RU"/>
              </w:rPr>
              <w:t>2. Затраты, относящиеся на операционную деятельность</w:t>
            </w:r>
          </w:p>
        </w:tc>
      </w:tr>
      <w:tr w:rsidR="008611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8611B2" w:rsidRDefault="00E03EF0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8611B2" w:rsidRDefault="008611B2">
            <w:pPr>
              <w:pStyle w:val="15"/>
              <w:rPr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8611B2" w:rsidRDefault="008611B2">
            <w:pPr>
              <w:pStyle w:val="15"/>
              <w:rPr>
                <w:bCs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8611B2" w:rsidRDefault="008611B2">
            <w:pPr>
              <w:pStyle w:val="15"/>
              <w:rPr>
                <w:bCs/>
              </w:rPr>
            </w:pPr>
          </w:p>
        </w:tc>
      </w:tr>
      <w:tr w:rsidR="008611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8611B2" w:rsidRDefault="00E03EF0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8611B2" w:rsidRDefault="00E03EF0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8611B2" w:rsidRDefault="00E03EF0">
            <w:pPr>
              <w:pStyle w:val="15"/>
              <w:rPr>
                <w:bCs/>
              </w:rPr>
            </w:pPr>
            <w:r>
              <w:rPr>
                <w:bCs/>
              </w:rPr>
              <w:t>6 500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8611B2" w:rsidRDefault="00E03EF0">
            <w:pPr>
              <w:pStyle w:val="15"/>
              <w:rPr>
                <w:bCs/>
              </w:rPr>
            </w:pPr>
            <w:r>
              <w:rPr>
                <w:bCs/>
              </w:rPr>
              <w:t>6 500</w:t>
            </w:r>
          </w:p>
        </w:tc>
      </w:tr>
    </w:tbl>
    <w:p w:rsidR="008611B2" w:rsidRDefault="008611B2"/>
    <w:p w:rsidR="008611B2" w:rsidRDefault="00E03EF0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3.</w:t>
      </w:r>
    </w:p>
    <w:p w:rsidR="008611B2" w:rsidRDefault="00E03EF0">
      <w:pPr>
        <w:pStyle w:val="Normalparagraph"/>
        <w:spacing w:before="0" w:after="57"/>
        <w:ind w:firstLine="0"/>
        <w:jc w:val="right"/>
        <w:rPr>
          <w:sz w:val="22"/>
        </w:rPr>
      </w:pPr>
      <w:proofErr w:type="spellStart"/>
      <w:r>
        <w:rPr>
          <w:sz w:val="22"/>
        </w:rPr>
        <w:t>Ключевые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контрольные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точки</w:t>
      </w:r>
      <w:proofErr w:type="spellEnd"/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23"/>
        <w:gridCol w:w="2655"/>
        <w:gridCol w:w="2524"/>
      </w:tblGrid>
      <w:tr w:rsidR="008611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</w:tcPr>
          <w:p w:rsidR="008611B2" w:rsidRDefault="00E03EF0">
            <w:pPr>
              <w:pStyle w:val="14"/>
            </w:pPr>
            <w:r>
              <w:t>КЛЮЧЕВЫЕ КОНТРОЛЬНЫЕ ТОЧКИ</w:t>
            </w:r>
          </w:p>
        </w:tc>
      </w:tr>
      <w:tr w:rsidR="008611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</w:tcPr>
          <w:p w:rsidR="008611B2" w:rsidRDefault="00E03EF0">
            <w:pPr>
              <w:pStyle w:val="14"/>
            </w:pP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контрольной</w:t>
            </w:r>
            <w:proofErr w:type="spellEnd"/>
            <w:r>
              <w:t xml:space="preserve"> </w:t>
            </w:r>
            <w:proofErr w:type="spellStart"/>
            <w:r>
              <w:t>точки</w:t>
            </w:r>
            <w:proofErr w:type="spellEnd"/>
          </w:p>
        </w:tc>
        <w:tc>
          <w:tcPr>
            <w:tcW w:w="0" w:type="auto"/>
          </w:tcPr>
          <w:p w:rsidR="008611B2" w:rsidRDefault="00E03EF0">
            <w:pPr>
              <w:pStyle w:val="14"/>
            </w:pPr>
            <w:proofErr w:type="spellStart"/>
            <w:r>
              <w:t>Ответственный</w:t>
            </w:r>
            <w:proofErr w:type="spellEnd"/>
          </w:p>
        </w:tc>
        <w:tc>
          <w:tcPr>
            <w:tcW w:w="0" w:type="auto"/>
          </w:tcPr>
          <w:p w:rsidR="008611B2" w:rsidRDefault="00E03EF0">
            <w:pPr>
              <w:pStyle w:val="14"/>
            </w:pPr>
            <w:proofErr w:type="spellStart"/>
            <w:r>
              <w:t>Плановая</w:t>
            </w:r>
            <w:proofErr w:type="spellEnd"/>
            <w:r>
              <w:t xml:space="preserve"> </w:t>
            </w:r>
            <w:proofErr w:type="spellStart"/>
            <w:r>
              <w:t>дата</w:t>
            </w:r>
            <w:proofErr w:type="spellEnd"/>
          </w:p>
        </w:tc>
      </w:tr>
    </w:tbl>
    <w:p w:rsidR="008611B2" w:rsidRDefault="008611B2"/>
    <w:p w:rsidR="008611B2" w:rsidRDefault="00E03EF0">
      <w:pPr>
        <w:pStyle w:val="1"/>
        <w:numPr>
          <w:ilvl w:val="0"/>
          <w:numId w:val="1"/>
        </w:numPr>
      </w:pPr>
      <w:r>
        <w:t>КОНТАКТНОЕ ЛИЦО</w:t>
      </w:r>
    </w:p>
    <w:p w:rsidR="008611B2" w:rsidRDefault="00E03EF0">
      <w:pPr>
        <w:pStyle w:val="Normalparagraph"/>
        <w:spacing w:before="283" w:after="113"/>
      </w:pPr>
      <w:r>
        <w:t xml:space="preserve"> - </w:t>
      </w:r>
      <w:proofErr w:type="spellStart"/>
      <w:r>
        <w:t>Куратор</w:t>
      </w:r>
      <w:proofErr w:type="spellEnd"/>
      <w:r>
        <w:t xml:space="preserve"> ИПКВ:   </w:t>
      </w:r>
    </w:p>
    <w:p w:rsidR="008611B2" w:rsidRDefault="00E03EF0">
      <w:pPr>
        <w:pStyle w:val="Normalparagraph"/>
        <w:spacing w:before="283" w:after="113"/>
      </w:pPr>
      <w:r>
        <w:t xml:space="preserve"> - </w:t>
      </w:r>
      <w:proofErr w:type="spellStart"/>
      <w:r>
        <w:t>Единое</w:t>
      </w:r>
      <w:proofErr w:type="spellEnd"/>
      <w:r>
        <w:t xml:space="preserve"> </w:t>
      </w:r>
      <w:proofErr w:type="spellStart"/>
      <w:r>
        <w:t>ответственное</w:t>
      </w:r>
      <w:proofErr w:type="spellEnd"/>
      <w:r>
        <w:t xml:space="preserve"> </w:t>
      </w:r>
      <w:proofErr w:type="spellStart"/>
      <w:r>
        <w:t>лицо</w:t>
      </w:r>
      <w:proofErr w:type="spellEnd"/>
      <w:r>
        <w:t xml:space="preserve"> ИПКВ:   </w:t>
      </w:r>
    </w:p>
    <w:p w:rsidR="008611B2" w:rsidRDefault="00E03EF0">
      <w:pPr>
        <w:pStyle w:val="Normalparagraph"/>
        <w:spacing w:before="283" w:after="113"/>
      </w:pPr>
      <w:r>
        <w:t xml:space="preserve"> - </w:t>
      </w:r>
      <w:proofErr w:type="spellStart"/>
      <w:r>
        <w:t>Заказчик</w:t>
      </w:r>
      <w:proofErr w:type="spellEnd"/>
      <w:r>
        <w:t xml:space="preserve"> ИПКВ:   </w:t>
      </w:r>
    </w:p>
    <w:p w:rsidR="008611B2" w:rsidRPr="00E03EF0" w:rsidRDefault="00E03EF0">
      <w:pPr>
        <w:pStyle w:val="Normalparagraph"/>
        <w:spacing w:before="283" w:after="113"/>
        <w:rPr>
          <w:lang w:val="ru-RU"/>
        </w:rPr>
      </w:pPr>
      <w:r w:rsidRPr="00E03EF0">
        <w:rPr>
          <w:lang w:val="ru-RU"/>
        </w:rPr>
        <w:t xml:space="preserve"> - Инициатор ИПКВ: Руководитель направления управления активами Петербургская сбытовая компания Иванова Татьяна Викторовна</w:t>
      </w:r>
    </w:p>
    <w:sectPr w:rsidR="008611B2" w:rsidRPr="00E03EF0">
      <w:footerReference w:type="default" r:id="rId7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11B2" w:rsidRDefault="00E03EF0">
      <w:r>
        <w:separator/>
      </w:r>
    </w:p>
  </w:endnote>
  <w:endnote w:type="continuationSeparator" w:id="0">
    <w:p w:rsidR="008611B2" w:rsidRDefault="00E03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1B2" w:rsidRDefault="00E03EF0">
    <w:pPr>
      <w:jc w:val="right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11B2" w:rsidRDefault="00E03EF0">
      <w:r>
        <w:separator/>
      </w:r>
    </w:p>
  </w:footnote>
  <w:footnote w:type="continuationSeparator" w:id="0">
    <w:p w:rsidR="008611B2" w:rsidRDefault="00E03E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D7C0A"/>
    <w:multiLevelType w:val="multilevel"/>
    <w:tmpl w:val="8326DDC0"/>
    <w:lvl w:ilvl="0">
      <w:start w:val="1"/>
      <w:numFmt w:val="decimal"/>
      <w:suff w:val="space"/>
      <w:lvlText w:val="%1. "/>
      <w:lvlJc w:val="left"/>
      <w:pPr>
        <w:ind w:left="0" w:firstLine="0"/>
      </w:pPr>
    </w:lvl>
    <w:lvl w:ilvl="1">
      <w:start w:val="1"/>
      <w:numFmt w:val="decimal"/>
      <w:suff w:val="space"/>
      <w:lvlText w:val="%1.%2. 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1B2"/>
    <w:rsid w:val="008611B2"/>
    <w:rsid w:val="00E0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12879B-4FF7-47CC-B142-D22132D7B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  <w:ind w:firstLine="283"/>
    </w:pPr>
    <w:rPr>
      <w:rFonts w:ascii="Arial" w:eastAsia="Arial" w:hAnsi="Arial" w:cs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567" w:after="255"/>
      <w:ind w:left="142" w:firstLine="0"/>
      <w:outlineLvl w:val="0"/>
    </w:pPr>
    <w:rPr>
      <w:b/>
      <w:sz w:val="28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82" w:after="198" w:line="140" w:lineRule="auto"/>
      <w:ind w:left="142" w:firstLine="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Normalparagraph">
    <w:name w:val="Normal paragraph"/>
    <w:basedOn w:val="a"/>
    <w:uiPriority w:val="1"/>
    <w:qFormat/>
    <w:pPr>
      <w:spacing w:before="170"/>
    </w:pPr>
  </w:style>
  <w:style w:type="table" w:customStyle="1" w:styleId="13">
    <w:name w:val="Таблица 1"/>
    <w:uiPriority w:val="1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91" w:type="dxa"/>
        <w:left w:w="85" w:type="dxa"/>
        <w:bottom w:w="91" w:type="dxa"/>
        <w:right w:w="85" w:type="dxa"/>
      </w:tcMar>
      <w:vAlign w:val="center"/>
    </w:tcPr>
  </w:style>
  <w:style w:type="paragraph" w:customStyle="1" w:styleId="14">
    <w:name w:val="Таблица 1. Заголовок"/>
    <w:uiPriority w:val="1"/>
    <w:qFormat/>
    <w:pPr>
      <w:spacing w:after="0" w:line="240" w:lineRule="auto"/>
      <w:jc w:val="center"/>
    </w:pPr>
    <w:rPr>
      <w:rFonts w:ascii="Arial" w:eastAsia="Arial" w:hAnsi="Arial" w:cs="Arial"/>
      <w:b/>
      <w:sz w:val="20"/>
    </w:rPr>
  </w:style>
  <w:style w:type="paragraph" w:customStyle="1" w:styleId="15">
    <w:name w:val="Таблица 1. Число"/>
    <w:basedOn w:val="14"/>
    <w:uiPriority w:val="1"/>
    <w:qFormat/>
    <w:pPr>
      <w:jc w:val="right"/>
    </w:pPr>
  </w:style>
  <w:style w:type="paragraph" w:customStyle="1" w:styleId="16">
    <w:name w:val="Таблица 1. Строка"/>
    <w:basedOn w:val="14"/>
    <w:uiPriority w:val="1"/>
    <w:qFormat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772</Words>
  <Characters>4406</Characters>
  <Application>Microsoft Office Word</Application>
  <DocSecurity>0</DocSecurity>
  <Lines>36</Lines>
  <Paragraphs>10</Paragraphs>
  <ScaleCrop>false</ScaleCrop>
  <Company/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Воронин Андрей Николаевич</cp:lastModifiedBy>
  <cp:revision>2</cp:revision>
  <dcterms:created xsi:type="dcterms:W3CDTF">2025-04-01T13:52:00Z</dcterms:created>
  <dcterms:modified xsi:type="dcterms:W3CDTF">2025-04-01T13:52:00Z</dcterms:modified>
</cp:coreProperties>
</file>